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Props1.xml" ContentType="application/vnd.openxmlformats-officedocument.customXmlProperti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spacing w:after="240"/>
        <w:jc w:val="left"/>
      </w:pPr>
      <w:r>
        <w:rPr>
          <w:b/>
          <w:i/>
          <w:sz w:val="20"/>
          <w:szCs w:val="20"/>
        </w:rPr>
        <w:t xml:space="preserve">Drafting note (delete before use): </w:t>
      </w:r>
      <w:r>
        <w:rPr>
          <w:i/>
          <w:sz w:val="20"/>
          <w:szCs w:val="20"/>
        </w:rPr>
        <w:t xml:space="preserve">Protects the Company’s Manager as permitted under the Company’s Operating Agreement and 6 Del. C. § 18-108. Use one agreement per indemnitee.</w:t>
      </w:r>
    </w:p>
    <w:p>
      <w:pPr>
        <w:pStyle w:val="Normal"/>
        <w:spacing w:before="0" w:after="60"/>
        <w:jc w:val="center"/>
        <w:rPr/>
      </w:pPr>
      <w:r>
        <w:rPr>
          <w:b/>
          <w:sz w:val="26"/>
        </w:rPr>
        <w:t>INDEMNIFICATION AGREEMENT</w:t>
      </w:r>
    </w:p>
    <w:p>
      <w:pPr>
        <w:pStyle w:val="Normal"/>
        <w:spacing w:before="0" w:after="200"/>
        <w:jc w:val="center"/>
        <w:rPr/>
      </w:pPr>
      <w:r>
        <w:rPr>
          <w:i/>
          <w:color w:val="000000"/>
        </w:rPr>
        <w:t>[COMPANY NAME], LLC</w:t>
      </w:r>
    </w:p>
    <w:p>
      <w:pPr>
        <w:pStyle w:val="Normal"/>
        <w:spacing w:after="200" w:line="276"/>
        <w:jc w:val="both"/>
        <w:rPr/>
      </w:pPr>
      <w:r>
        <w:rPr/>
        <w:t xml:space="preserve">This Indemnification Agreement (this “Agreement”) is made as of </w:t>
      </w:r>
      <w:r>
        <w:rPr>
          <w:i/>
          <w:color w:val="000000"/>
        </w:rPr>
        <w:t>[DATE]</w:t>
      </w:r>
      <w:r>
        <w:rPr/>
        <w:t xml:space="preserve"> between </w:t>
      </w:r>
      <w:r>
        <w:rPr>
          <w:i/>
          <w:color w:val="000000"/>
        </w:rPr>
        <w:t>[COMPANY NAME]</w:t>
      </w:r>
      <w:r>
        <w:rPr/>
        <w:t xml:space="preserve">, LLC, a Delaware limited liability company (the “Company”), and </w:t>
      </w:r>
      <w:r>
        <w:rPr>
          <w:i/>
          <w:color w:val="000000"/>
        </w:rPr>
        <w:t>[INDEMNITEE NAME]</w:t>
      </w:r>
      <w:r>
        <w:rPr/>
        <w:t xml:space="preserve"> (the “Indemnitee”), who serves as a Manager of the Company.</w:t>
      </w:r>
    </w:p>
    <w:p>
      <w:pPr>
        <w:pStyle w:val="ListParagraph"/>
        <w:keepNext/>
        <w:numPr>
          <w:ilvl w:val="0"/>
          <w:numId w:val="100"/>
        </w:numPr>
        <w:spacing w:after="120" w:before="160"/>
      </w:pPr>
      <w:r>
        <w:rPr>
          <w:b/>
        </w:rPr>
        <w:t xml:space="preserve">Indemnification.</w:t>
      </w:r>
    </w:p>
    <w:p>
      <w:pPr>
        <w:pStyle w:val="Normal"/>
        <w:spacing w:after="200" w:line="276"/>
        <w:jc w:val="both"/>
        <w:rPr/>
      </w:pPr>
      <w:r>
        <w:rPr/>
        <w:t>To the fullest extent permitted by Section 18-108 of the Delaware Limited Liability Company Act (the “Act”) and the Company’s Operating Agreement, as amended from time to time (the “Operating Agreement”), the Company shall indemnify the Indemnitee against all expenses (including attorneys’ fees), judgments, fines, and amounts paid in settlement actually and reasonably incurred by the Indemnitee in connection with any threatened, pending, or completed action, suit, or proceeding by reason of the Indemnitee’s service as a Manager of the Company, provided that the Indemnitee acted in good faith and in a manner the Indemnitee reasonably believed to be in or not opposed to the best interests of the Company and, with respect to any criminal proceeding, had no reasonable cause to believe the conduct was unlawful.</w:t>
      </w:r>
    </w:p>
    <w:p>
      <w:pPr>
        <w:pStyle w:val="ListParagraph"/>
        <w:keepNext/>
        <w:numPr>
          <w:ilvl w:val="0"/>
          <w:numId w:val="100"/>
        </w:numPr>
        <w:spacing w:after="120" w:before="160"/>
      </w:pPr>
      <w:r>
        <w:rPr>
          <w:b/>
        </w:rPr>
        <w:t xml:space="preserve">Advancement of Expenses.</w:t>
      </w:r>
    </w:p>
    <w:p>
      <w:pPr>
        <w:pStyle w:val="Normal"/>
        <w:spacing w:after="200" w:line="276"/>
        <w:jc w:val="both"/>
        <w:rPr/>
      </w:pPr>
      <w:r>
        <w:rPr/>
        <w:t>The Company shall advance expenses incurred by the Indemnitee in defending any such proceeding in advance of its final disposition, upon receipt of an undertaking by or on behalf of the Indemnitee to repay the amounts advanced if it is ultimately determined that the Indemnitee is not entitled to indemnification.</w:t>
      </w:r>
    </w:p>
    <w:p>
      <w:pPr>
        <w:pStyle w:val="ListParagraph"/>
        <w:keepNext/>
        <w:numPr>
          <w:ilvl w:val="0"/>
          <w:numId w:val="100"/>
        </w:numPr>
        <w:spacing w:after="120" w:before="160"/>
      </w:pPr>
      <w:r>
        <w:rPr>
          <w:b/>
        </w:rPr>
        <w:t xml:space="preserve">Successful Defense.</w:t>
      </w:r>
    </w:p>
    <w:p>
      <w:pPr>
        <w:pStyle w:val="Normal"/>
        <w:spacing w:after="200" w:line="276"/>
        <w:jc w:val="both"/>
        <w:rPr/>
      </w:pPr>
      <w:r>
        <w:rPr/>
        <w:t>To the extent the Indemnitee is successful, on the merits or otherwise, in defense of any such proceeding (or any claim or issue in it), the Company shall indemnify the Indemnitee against expenses actually and reasonably incurred.</w:t>
      </w:r>
    </w:p>
    <w:p>
      <w:pPr>
        <w:pStyle w:val="ListParagraph"/>
        <w:keepNext/>
        <w:numPr>
          <w:ilvl w:val="0"/>
          <w:numId w:val="100"/>
        </w:numPr>
        <w:spacing w:after="120" w:before="160"/>
      </w:pPr>
      <w:r>
        <w:rPr>
          <w:b/>
        </w:rPr>
        <w:t xml:space="preserve">Non-Exclusivity.</w:t>
      </w:r>
    </w:p>
    <w:p>
      <w:pPr>
        <w:pStyle w:val="Normal"/>
        <w:spacing w:after="200" w:line="276"/>
        <w:jc w:val="both"/>
        <w:rPr/>
      </w:pPr>
      <w:r>
        <w:rPr/>
        <w:t>The rights provided by this Agreement are in addition to, and not exclusive of, any rights the Indemnitee may have under the Operating Agreement, the Act, any insurance policy, any vote or written consent of the members or managers, or otherwise.</w:t>
      </w:r>
    </w:p>
    <w:p>
      <w:pPr>
        <w:pStyle w:val="ListParagraph"/>
        <w:keepNext/>
        <w:numPr>
          <w:ilvl w:val="0"/>
          <w:numId w:val="100"/>
        </w:numPr>
        <w:spacing w:after="120" w:before="160"/>
      </w:pPr>
      <w:r>
        <w:rPr>
          <w:b/>
        </w:rPr>
        <w:t xml:space="preserve">Continuation and Survival.</w:t>
      </w:r>
    </w:p>
    <w:p>
      <w:pPr>
        <w:pStyle w:val="Normal"/>
        <w:spacing w:after="200" w:line="276"/>
        <w:jc w:val="both"/>
        <w:rPr/>
      </w:pPr>
      <w:r>
        <w:rPr/>
        <w:t>The rights under this Agreement continue after the Indemnitee ceases to serve as a Manager and inure to the benefit of the Indemnitee’s heirs, executors, and personal representatives.</w:t>
      </w:r>
    </w:p>
    <w:p>
      <w:pPr>
        <w:pStyle w:val="ListParagraph"/>
        <w:keepNext/>
        <w:numPr>
          <w:ilvl w:val="0"/>
          <w:numId w:val="100"/>
        </w:numPr>
        <w:spacing w:after="120" w:before="160"/>
      </w:pPr>
      <w:r>
        <w:rPr>
          <w:b/>
        </w:rPr>
        <w:t xml:space="preserve">Exceptions.</w:t>
      </w:r>
    </w:p>
    <w:p>
      <w:pPr>
        <w:pStyle w:val="Normal"/>
        <w:spacing w:after="200" w:line="276"/>
        <w:jc w:val="both"/>
        <w:rPr/>
      </w:pPr>
      <w:r>
        <w:rPr/>
        <w:t>The Company is not obligated to indemnify the Indemnitee for conduct finally adjudged to constitute fraud, willful misconduct, bad faith, or a knowing violation of law, or for any transaction from which the Indemnitee derived an improper personal benefit, or for any matter as to which indemnification is prohibited by applicable law or the Operating Agreement.</w:t>
      </w:r>
    </w:p>
    <w:p>
      <w:pPr>
        <w:pStyle w:val="ListParagraph"/>
        <w:keepNext/>
        <w:numPr>
          <w:ilvl w:val="0"/>
          <w:numId w:val="100"/>
        </w:numPr>
        <w:spacing w:after="120" w:before="160"/>
      </w:pPr>
      <w:r>
        <w:rPr>
          <w:b/>
        </w:rPr>
        <w:t xml:space="preserve">General.</w:t>
      </w:r>
    </w:p>
    <w:p>
      <w:pPr>
        <w:pStyle w:val="Normal"/>
        <w:jc w:val="both"/>
        <w:rPr/>
      </w:pPr>
      <w:r>
        <w:rPr/>
        <w:t>This Agreement is governed by the laws of the State of Delaware, constitutes the entire agreement of the parties on its subject matter, and may be executed in counterparts and by electronic signature.</w:t>
      </w:r>
    </w:p>
    <w:p>
      <w:pPr>
        <w:pStyle w:val="Normal"/>
        <w:spacing w:before="320" w:after="400"/>
        <w:rPr/>
      </w:pPr>
      <w:r>
        <w:rPr/>
        <w:t>IN WITNESS WHEREOF, the parties have executed this Agreement as of the date first written above.</w:t>
      </w:r>
    </w:p>
    <w:p>
      <w:pPr>
        <w:pStyle w:val="Normal"/>
        <w:spacing w:before="0" w:after="40"/>
        <w:rPr/>
      </w:pPr>
      <w:r>
        <w:rPr>
          <w:b/>
        </w:rPr>
        <w:t>COMPANY</w:t>
      </w:r>
    </w:p>
    <w:p>
      <w:pPr>
        <w:pStyle w:val="Normal"/>
        <w:spacing w:before="0" w:after="40"/>
        <w:rPr/>
      </w:pPr>
      <w:r>
        <w:rPr/>
        <w:t>______________________________</w:t>
      </w:r>
    </w:p>
    <w:p>
      <w:pPr>
        <w:pStyle w:val="Normal"/>
        <w:spacing w:before="0" w:after="400"/>
        <w:rPr/>
      </w:pPr>
      <w:r>
        <w:rPr>
          <w:i/>
          <w:color w:val="000000"/>
        </w:rPr>
        <w:t>[COMPANY NAME]</w:t>
      </w:r>
      <w:r>
        <w:rPr/>
        <w:t xml:space="preserve">, LLC, by </w:t>
      </w:r>
      <w:r>
        <w:rPr>
          <w:i/>
          <w:color w:val="000000"/>
        </w:rPr>
        <w:t>[NAME]</w:t>
      </w:r>
      <w:r>
        <w:rPr/>
        <w:t xml:space="preserve">, </w:t>
      </w:r>
      <w:r>
        <w:rPr>
          <w:i/>
          <w:color w:val="000000"/>
        </w:rPr>
        <w:t>[Manager / Authorized Signatory]</w:t>
      </w:r>
    </w:p>
    <w:p>
      <w:pPr>
        <w:pStyle w:val="Normal"/>
        <w:spacing w:before="0" w:after="40"/>
        <w:rPr/>
      </w:pPr>
      <w:r>
        <w:rPr>
          <w:b/>
        </w:rPr>
        <w:t>INDEMNITEE</w:t>
      </w:r>
    </w:p>
    <w:p>
      <w:pPr>
        <w:pStyle w:val="Normal"/>
        <w:spacing w:before="0" w:after="40"/>
        <w:rPr/>
      </w:pPr>
      <w:r>
        <w:rPr/>
        <w:t>______________________________</w:t>
      </w:r>
    </w:p>
    <w:p>
      <w:pPr>
        <w:pStyle w:val="Normal"/>
        <w:spacing w:before="0" w:after="0"/>
        <w:rPr/>
      </w:pPr>
      <w:r>
        <w:rPr>
          <w:i/>
          <w:color w:val="000000"/>
        </w:rPr>
        <w:t>[INDEMNITEE NAME]</w:t>
      </w:r>
    </w:p>
    <w:sectPr>
      <w:headerReference w:type="default" r:id="rId8"/>
      <w:footerReference w:type="default" r:id="rId9"/>
      <w:type w:val="nextPage"/>
      <w:pgSz w:w="12240" w:h="15840"/>
      <w:pgMar w:left="1440" w:right="1440" w:gutter="0" w:header="708" w:top="1440" w:footer="70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mbria">
    <w:charset w:val="01" w:characterSet="utf-8"/>
    <w:family w:val="roman"/>
    <w:pitch w:val="variable"/>
  </w:font>
  <w:font w:name="Times New Roman">
    <w:charset w:val="01" w:characterSet="utf-8"/>
    <w:family w:val="roman"/>
    <w:pitch w:val="variable"/>
  </w:font>
  <w:font w:name="Calibri">
    <w:charset w:val="01" w:characterSet="utf-8"/>
    <w:family w:val="roman"/>
    <w:pitch w:val="variable"/>
  </w:font>
  <w:font w:name="Courier">
    <w:altName w:val="Courier New"/>
    <w:charset w:val="01" w:characterSet="utf-8"/>
    <w:family w:val="roman"/>
    <w:pitch w:val="variable"/>
  </w:font>
  <w:font w:name="Liberation Sans">
    <w:altName w:val="Arial"/>
    <w:charset w:val="01" w:characterSet="utf-8"/>
    <w:family w:val="swiss"/>
    <w:pitch w:val="variable"/>
  </w:font>
  <w:font w:name="Symbol">
    <w:charset w:val="02"/>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sz w:val="20"/>
        <w:szCs w:val="20"/>
      </w:rPr>
      <w:fldChar w:fldCharType="begin"/>
      <w:instrText xml:space="preserve">PAGE</w:instrText>
      <w:fldChar w:fldCharType="separate"/>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i/>
        <w:iCs/>
        <w:sz w:val="20"/>
        <w:szCs w:val="20"/>
      </w:rPr>
      <w:t xml:space="preserve">[COMPANY NAME], LLC — Indemnification Agreement (Manager)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100">
    <w:multiLevelType w:val="hybridMultilevel"/>
    <w:lvl w:ilvl="0">
      <w:start w:val="1"/>
      <w:numFmt w:val="decimal"/>
      <w:lvlText w:val="%1."/>
      <w:lvlJc w:val="left"/>
      <w:pPr>
        <w:ind w:left="0" w:hanging="360"/>
      </w:pPr>
      <w:rPr>
        <w:rFonts w:ascii="Times New Roman" w:cs="Times New Roman" w:eastAsia="Times New Roman" w:hAnsi="Times New Roman"/>
        <w:b/>
        <w:bCs/>
        <w:sz w:val="24"/>
        <w:szCs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100">
    <w:abstractNumId w:val="100"/>
  </w:num>
</w:numbering>
</file>

<file path=word/settings.xml><?xml version="1.0" encoding="utf-8"?>
<w:settings xmlns:w="http://schemas.openxmlformats.org/wordprocessingml/2006/main">
  <w:zoom w:percent="197"/>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pPr>
      <w:widowControl/>
      <w:bidi w:val="0"/>
      <w:spacing w:lineRule="auto" w:line="259" w:before="0" w:after="200"/>
      <w:jc w:val="start"/>
    </w:pPr>
    <w:rPr>
      <w:rFonts w:ascii="Times New Roman" w:hAnsi="Times New Roman" w:eastAsia="ＭＳ 明朝" w:cs="" w:cstheme="minorBidi" w:eastAsiaTheme="minorEastAsia"/>
      <w:color w:val="auto"/>
      <w:kern w:val="0"/>
      <w:sz w:val="24"/>
      <w:szCs w:val="24"/>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ＭＳ ゴシック"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ＭＳ ゴシック"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ＭＳ ゴシック"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ＭＳ ゴシック"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ＭＳ ゴシック"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ＭＳ ゴシック"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DejaVu 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DejaVu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bidi w:val="0"/>
      <w:spacing w:lineRule="auto" w:line="240" w:before="0" w:after="0"/>
      <w:jc w:val="start"/>
    </w:pPr>
    <w:rPr>
      <w:rFonts w:ascii="Cambria" w:hAnsi="Cambria" w:eastAsia="ＭＳ 明朝" w:cs="" w:asciiTheme="minorHAnsi" w:cstheme="minorBidi" w:eastAsiaTheme="minorEastAsia" w:hAnsiTheme="minorHAnsi"/>
      <w:color w:val="auto"/>
      <w:kern w:val="0"/>
      <w:sz w:val="24"/>
      <w:szCs w:val="24"/>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star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start="720"/>
      <w:contextualSpacing/>
    </w:pPr>
    <w:rPr/>
  </w:style>
  <w:style w:type="paragraph" w:styleId="List3">
    <w:name w:val="List 3"/>
    <w:basedOn w:val="Normal"/>
    <w:uiPriority w:val="99"/>
    <w:unhideWhenUsed/>
    <w:qFormat/>
    <w:rsid w:val="00326f90"/>
    <w:pPr>
      <w:spacing w:before="0" w:after="200"/>
      <w:ind w:hanging="360" w:star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star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Pr/>
    </w:tblStylePr>
    <w:tblStylePr w:type="nwCell">
      <w:rPr>
        <w:color w:val="000000" w:themeColor="text1"/>
      </w:rPr>
      <w:tbl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Pr/>
    </w:tblStylePr>
    <w:tblStylePr w:type="nwCell">
      <w:rPr>
        <w:color w:val="000000" w:themeColor="text1"/>
      </w:rPr>
      <w:tbl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Pr/>
    </w:tblStylePr>
    <w:tblStylePr w:type="nwCell">
      <w:rPr>
        <w:color w:val="000000" w:themeColor="text1"/>
      </w:rPr>
      <w:tbl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Pr/>
    </w:tblStylePr>
    <w:tblStylePr w:type="nwCell">
      <w:rPr>
        <w:color w:val="000000" w:themeColor="text1"/>
      </w:rPr>
      <w:tbl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Pr/>
    </w:tblStylePr>
    <w:tblStylePr w:type="nwCell">
      <w:rPr>
        <w:color w:val="000000" w:themeColor="text1"/>
      </w:rPr>
      <w:tbl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Pr/>
    </w:tblStylePr>
    <w:tblStylePr w:type="nwCell">
      <w:rPr>
        <w:color w:val="000000" w:themeColor="text1"/>
      </w:rPr>
      <w:tbl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LibreOffice/26.2.4.2$Linux_X86_64 LibreOffice_project/620$Build-2</Application>
  <AppVersion>15.0000</AppVersion>
  <Pages>2</Pages>
  <Words>488</Words>
  <Characters>2736</Characters>
  <CharactersWithSpaces>3199</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2026-07-13T15:42:00Z</dcterms:created>
  <dc:creator>python-docx</dc:creator>
  <dc:description>generated by python-docx</dc:description>
  <dc:language>en-US</dc:language>
  <cp:lastModifiedBy/>
  <dcterms:modified xsi:type="dcterms:W3CDTF">2026-07-15T10:12:46Z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